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3B4" w:rsidRPr="002033B4" w:rsidRDefault="002033B4" w:rsidP="002033B4">
      <w:pPr>
        <w:spacing w:after="0" w:line="276" w:lineRule="auto"/>
        <w:jc w:val="right"/>
        <w:rPr>
          <w:rFonts w:ascii="Garamond" w:eastAsiaTheme="minorEastAsia" w:hAnsi="Garamond"/>
          <w:b/>
          <w:kern w:val="0"/>
          <w:sz w:val="34"/>
          <w:szCs w:val="34"/>
          <w:lang w:eastAsia="fr-FR"/>
          <w14:ligatures w14:val="none"/>
        </w:rPr>
      </w:pPr>
      <w:r w:rsidRPr="002033B4">
        <w:rPr>
          <w:rFonts w:ascii="Garamond" w:eastAsiaTheme="minorEastAsia" w:hAnsi="Garamond"/>
          <w:b/>
          <w:noProof/>
          <w:kern w:val="0"/>
          <w:sz w:val="28"/>
          <w:szCs w:val="28"/>
          <w:lang w:eastAsia="fr-FR"/>
          <w14:ligatures w14:val="none"/>
        </w:rPr>
        <mc:AlternateContent>
          <mc:Choice Requires="wps">
            <w:drawing>
              <wp:anchor distT="0" distB="0" distL="0" distR="0" simplePos="0" relativeHeight="251661312" behindDoc="0" locked="0" layoutInCell="1" allowOverlap="1" wp14:anchorId="264030F8" wp14:editId="07A35A50">
                <wp:simplePos x="0" y="0"/>
                <wp:positionH relativeFrom="margin">
                  <wp:posOffset>-542290</wp:posOffset>
                </wp:positionH>
                <wp:positionV relativeFrom="paragraph">
                  <wp:posOffset>753745</wp:posOffset>
                </wp:positionV>
                <wp:extent cx="3028950" cy="704850"/>
                <wp:effectExtent l="0" t="0" r="19050" b="19050"/>
                <wp:wrapNone/>
                <wp:docPr id="78"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70485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2033B4" w:rsidRPr="009F44E5" w:rsidRDefault="002033B4" w:rsidP="002033B4">
                            <w:pPr>
                              <w:spacing w:after="0"/>
                              <w:jc w:val="center"/>
                              <w:rPr>
                                <w:rFonts w:ascii="Trebuchet MS" w:hAnsi="Trebuchet MS"/>
                                <w:bCs/>
                                <w:sz w:val="24"/>
                                <w:szCs w:val="24"/>
                              </w:rPr>
                            </w:pPr>
                            <w:r w:rsidRPr="009F44E5">
                              <w:rPr>
                                <w:rFonts w:ascii="Trebuchet MS" w:hAnsi="Trebuchet MS"/>
                                <w:bCs/>
                                <w:sz w:val="24"/>
                                <w:szCs w:val="24"/>
                              </w:rPr>
                              <w:t>AGENCE NATIONALE DE PROTECTION SOCIALE (ANPS)</w:t>
                            </w:r>
                          </w:p>
                          <w:p w:rsidR="002033B4" w:rsidRDefault="002033B4" w:rsidP="002033B4">
                            <w:pPr>
                              <w:spacing w:after="0" w:line="240" w:lineRule="auto"/>
                              <w:jc w:val="center"/>
                              <w:rPr>
                                <w:rFonts w:ascii="Maiandra GD" w:hAnsi="Maiandra GD"/>
                                <w:b/>
                                <w:sz w:val="24"/>
                                <w:szCs w:val="24"/>
                              </w:rPr>
                            </w:pPr>
                            <w:r w:rsidRPr="00CA52C1">
                              <w:rPr>
                                <w:rFonts w:ascii="Maiandra GD" w:hAnsi="Maiandra GD"/>
                                <w:b/>
                                <w:sz w:val="24"/>
                                <w:szCs w:val="24"/>
                              </w:rPr>
                              <w:t>--------&amp;---------</w:t>
                            </w:r>
                          </w:p>
                          <w:p w:rsidR="002033B4" w:rsidRDefault="002033B4" w:rsidP="002033B4">
                            <w:pPr>
                              <w:spacing w:after="0" w:line="240" w:lineRule="auto"/>
                              <w:jc w:val="center"/>
                              <w:rPr>
                                <w:rFonts w:ascii="Maiandra GD" w:hAnsi="Maiandra GD"/>
                                <w:b/>
                                <w:sz w:val="24"/>
                                <w:szCs w:val="24"/>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030F8" id="Zone de texte 12" o:spid="_x0000_s1026" style="position:absolute;left:0;text-align:left;margin-left:-42.7pt;margin-top:59.35pt;width:238.5pt;height:55.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5cJQIAAH4EAAAOAAAAZHJzL2Uyb0RvYy54bWysVE2P0zAQvSPxHyzfadLSsm3UdIUoi5BW&#10;uyvtIs6u4yQW/mLsNim/nrGTdstyWSFysDyZyfOb98ZZX/dakYMAL60p6XSSUyIMt5U0TUm/Pd28&#10;W1LiAzMVU9aIkh6Fp9ebt2/WnSvEzLZWVQIIghhfdK6kbQiuyDLPW6GZn1gnDCZrC5oFDKHJKmAd&#10;omuVzfL8Q9ZZqBxYLrzHt9shSTcJv64FD/d17UUgqqTILaQV0rqLa7ZZs6IB5lrJRxrsH1hoJg0e&#10;eobassDIHuRfUFpysN7WYcKtzmxdSy5SD9jNNH/RzWPLnEi9oDjenWXy/w+W3x0e3QNE6t7dWv7D&#10;oyJZ53xxzsTAjzV9DTrWInHSJxWPZxVFHwjHl+/z2XK1QLE55q7y+RL3EZQVp68d+PBFWE3ipqSA&#10;LiXx2OHWh6H0VJKIWSWrG6lUCqDZfVJADgwdvUnPiO4vy5QhXUlXi9kCeTAcrFqxgFvtqpJ606Tz&#10;/vjCvw44Etsy3w4EEsIwRFoGAWmcWsGqz6Yi4ehw4g3OPY1ktKgoUQKvSdylysCkek0laqfM6Mtg&#10;RTQl9LseYeJ2Z6vjA4oiAPVsLfzCE3GosdWfewZ4vvpqcGpW0/k83oIUzBdXMwzgMrO7zDDDEaqk&#10;qNvegWxaxJ4m4aIIT/13Bm60MKD5d/Y0r6x44eRQG+0z9uM+2Fomm5+Zj73hkKdBGS9kvEWXcap6&#10;/m1sfgMAAP//AwBQSwMEFAAGAAgAAAAhAFR+h3DjAAAACwEAAA8AAABkcnMvZG93bnJldi54bWxM&#10;j0FLw0AQhe+C/2EZwYu0m8Q23cZsihQEkV6Mgs1tmx2TYHY3ZLdN/PeOJz0O7+O9b/LdbHp2wdF3&#10;zkqIlxEwtLXTnW0kvL89LQQwH5TVqncWJXyjh11xfZWrTLvJvuKlDA2jEuszJaENYcg493WLRvml&#10;G9BS9ulGowKdY8P1qCYqNz1PoijlRnWWFlo14L7F+qs8Gwnz9FHdrdK6Eoc9Hp/Ll0Ec15WUtzfz&#10;4wOwgHP4g+FXn9ShIKeTO1vtWS9hIdYrQimIxQYYEffbOAV2kpAk2w3wIuf/fyh+AAAA//8DAFBL&#10;AQItABQABgAIAAAAIQC2gziS/gAAAOEBAAATAAAAAAAAAAAAAAAAAAAAAABbQ29udGVudF9UeXBl&#10;c10ueG1sUEsBAi0AFAAGAAgAAAAhADj9If/WAAAAlAEAAAsAAAAAAAAAAAAAAAAALwEAAF9yZWxz&#10;Ly5yZWxzUEsBAi0AFAAGAAgAAAAhABeEjlwlAgAAfgQAAA4AAAAAAAAAAAAAAAAALgIAAGRycy9l&#10;Mm9Eb2MueG1sUEsBAi0AFAAGAAgAAAAhAFR+h3DjAAAACwEAAA8AAAAAAAAAAAAAAAAAfwQAAGRy&#10;cy9kb3ducmV2LnhtbFBLBQYAAAAABAAEAPMAAACPBQAAAAA=&#10;" strokecolor="white">
                <v:path arrowok="t"/>
                <v:textbox>
                  <w:txbxContent>
                    <w:p w:rsidR="002033B4" w:rsidRPr="009F44E5" w:rsidRDefault="002033B4" w:rsidP="002033B4">
                      <w:pPr>
                        <w:spacing w:after="0"/>
                        <w:jc w:val="center"/>
                        <w:rPr>
                          <w:rFonts w:ascii="Trebuchet MS" w:hAnsi="Trebuchet MS"/>
                          <w:bCs/>
                          <w:sz w:val="24"/>
                          <w:szCs w:val="24"/>
                        </w:rPr>
                      </w:pPr>
                      <w:r w:rsidRPr="009F44E5">
                        <w:rPr>
                          <w:rFonts w:ascii="Trebuchet MS" w:hAnsi="Trebuchet MS"/>
                          <w:bCs/>
                          <w:sz w:val="24"/>
                          <w:szCs w:val="24"/>
                        </w:rPr>
                        <w:t>AGENCE NATIONALE DE PROTECTION SOCIALE (ANPS)</w:t>
                      </w:r>
                    </w:p>
                    <w:p w:rsidR="002033B4" w:rsidRDefault="002033B4" w:rsidP="002033B4">
                      <w:pPr>
                        <w:spacing w:after="0" w:line="240" w:lineRule="auto"/>
                        <w:jc w:val="center"/>
                        <w:rPr>
                          <w:rFonts w:ascii="Maiandra GD" w:hAnsi="Maiandra GD"/>
                          <w:b/>
                          <w:sz w:val="24"/>
                          <w:szCs w:val="24"/>
                        </w:rPr>
                      </w:pPr>
                      <w:r w:rsidRPr="00CA52C1">
                        <w:rPr>
                          <w:rFonts w:ascii="Maiandra GD" w:hAnsi="Maiandra GD"/>
                          <w:b/>
                          <w:sz w:val="24"/>
                          <w:szCs w:val="24"/>
                        </w:rPr>
                        <w:t>--------&amp;---------</w:t>
                      </w:r>
                    </w:p>
                    <w:p w:rsidR="002033B4" w:rsidRDefault="002033B4" w:rsidP="002033B4">
                      <w:pPr>
                        <w:spacing w:after="0" w:line="240" w:lineRule="auto"/>
                        <w:jc w:val="center"/>
                        <w:rPr>
                          <w:rFonts w:ascii="Maiandra GD" w:hAnsi="Maiandra GD"/>
                          <w:b/>
                          <w:sz w:val="24"/>
                          <w:szCs w:val="24"/>
                        </w:rPr>
                      </w:pPr>
                    </w:p>
                  </w:txbxContent>
                </v:textbox>
                <w10:wrap anchorx="margin"/>
              </v:rect>
            </w:pict>
          </mc:Fallback>
        </mc:AlternateContent>
      </w:r>
      <w:r w:rsidRPr="002033B4">
        <w:rPr>
          <w:rFonts w:eastAsiaTheme="minorEastAsia"/>
          <w:noProof/>
          <w:kern w:val="0"/>
          <w:lang w:eastAsia="fr-FR"/>
          <w14:ligatures w14:val="none"/>
        </w:rPr>
        <w:drawing>
          <wp:inline distT="0" distB="0" distL="0" distR="0" wp14:anchorId="20CC55BA" wp14:editId="5A018FEB">
            <wp:extent cx="1903852" cy="817880"/>
            <wp:effectExtent l="0" t="0" r="0" b="1270"/>
            <wp:docPr id="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rcRect/>
                    <a:stretch/>
                  </pic:blipFill>
                  <pic:spPr>
                    <a:xfrm>
                      <a:off x="0" y="0"/>
                      <a:ext cx="1986421" cy="853351"/>
                    </a:xfrm>
                    <a:prstGeom prst="rect">
                      <a:avLst/>
                    </a:prstGeom>
                    <a:ln>
                      <a:noFill/>
                    </a:ln>
                  </pic:spPr>
                </pic:pic>
              </a:graphicData>
            </a:graphic>
          </wp:inline>
        </w:drawing>
      </w:r>
      <w:r w:rsidRPr="002033B4">
        <w:rPr>
          <w:rFonts w:ascii="Bookman Old Style" w:eastAsiaTheme="minorEastAsia" w:hAnsi="Bookman Old Style"/>
          <w:noProof/>
          <w:kern w:val="0"/>
          <w:sz w:val="28"/>
          <w:szCs w:val="28"/>
          <w:lang w:eastAsia="fr-FR"/>
          <w14:ligatures w14:val="none"/>
        </w:rPr>
        <mc:AlternateContent>
          <mc:Choice Requires="wpg">
            <w:drawing>
              <wp:anchor distT="0" distB="0" distL="114300" distR="114300" simplePos="0" relativeHeight="251660288" behindDoc="0" locked="0" layoutInCell="1" allowOverlap="1" wp14:anchorId="08FB11ED" wp14:editId="22EB65A0">
                <wp:simplePos x="0" y="0"/>
                <wp:positionH relativeFrom="margin">
                  <wp:posOffset>1737995</wp:posOffset>
                </wp:positionH>
                <wp:positionV relativeFrom="paragraph">
                  <wp:posOffset>-782320</wp:posOffset>
                </wp:positionV>
                <wp:extent cx="2520315" cy="635"/>
                <wp:effectExtent l="0" t="114300" r="70485" b="15176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635"/>
                          <a:chOff x="4410" y="3925"/>
                          <a:chExt cx="2826" cy="20"/>
                        </a:xfrm>
                      </wpg:grpSpPr>
                      <wps:wsp>
                        <wps:cNvPr id="2" name="AutoShape 31"/>
                        <wps:cNvCnPr>
                          <a:cxnSpLocks noChangeShapeType="1"/>
                        </wps:cNvCnPr>
                        <wps:spPr bwMode="auto">
                          <a:xfrm>
                            <a:off x="4410" y="3925"/>
                            <a:ext cx="930" cy="0"/>
                          </a:xfrm>
                          <a:prstGeom prst="straightConnector1">
                            <a:avLst/>
                          </a:prstGeom>
                          <a:noFill/>
                          <a:ln w="254000">
                            <a:solidFill>
                              <a:srgbClr val="00B050"/>
                            </a:solidFill>
                            <a:round/>
                            <a:headEnd/>
                            <a:tailEnd/>
                          </a:ln>
                          <a:extLst>
                            <a:ext uri="{909E8E84-426E-40DD-AFC4-6F175D3DCCD1}">
                              <a14:hiddenFill xmlns:a14="http://schemas.microsoft.com/office/drawing/2010/main">
                                <a:noFill/>
                              </a14:hiddenFill>
                            </a:ext>
                          </a:extLst>
                        </wps:spPr>
                        <wps:bodyPr/>
                      </wps:wsp>
                      <wps:wsp>
                        <wps:cNvPr id="3" name="AutoShape 32"/>
                        <wps:cNvCnPr>
                          <a:cxnSpLocks noChangeShapeType="1"/>
                        </wps:cNvCnPr>
                        <wps:spPr bwMode="auto">
                          <a:xfrm>
                            <a:off x="6306" y="3945"/>
                            <a:ext cx="930" cy="0"/>
                          </a:xfrm>
                          <a:prstGeom prst="straightConnector1">
                            <a:avLst/>
                          </a:prstGeom>
                          <a:noFill/>
                          <a:ln w="2540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33"/>
                        <wps:cNvCnPr>
                          <a:cxnSpLocks noChangeShapeType="1"/>
                        </wps:cNvCnPr>
                        <wps:spPr bwMode="auto">
                          <a:xfrm>
                            <a:off x="5355" y="3932"/>
                            <a:ext cx="969" cy="1"/>
                          </a:xfrm>
                          <a:prstGeom prst="straightConnector1">
                            <a:avLst/>
                          </a:prstGeom>
                          <a:noFill/>
                          <a:ln w="25400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079F8" id="Group 30" o:spid="_x0000_s1026" style="position:absolute;margin-left:136.85pt;margin-top:-61.6pt;width:198.45pt;height:.05pt;z-index:251660288;mso-position-horizontal-relative:margin" coordorigin="4410,3925" coordsize="2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4kegIAAJgIAAAOAAAAZHJzL2Uyb0RvYy54bWzcVslu2zAQvRfoPxC619osIxYiB60T+5I2&#10;BpJ+AE1RElGKJEjasv++Q0pekhookKJGUR8IUrNw5r2ZoW/vdi1HW6oNk6II4lEUICqILJmoi+D7&#10;y+LTTYCMxaLEXApaBHtqgrvZxw+3ncppIhvJS6oROBEm71QRNNaqPAwNaWiLzUgqKkBYSd1iC0dd&#10;h6XGHXhveZhE0STspC6VloQaA1/ve2Ew8/6rihL7VFWGWsSLAGKzftV+Xbs1nN3ivNZYNYwMYeB3&#10;RNFiJuDSo6t7bDHaaPaLq5YRLY2s7IjINpRVxQj1OUA2cfQmm6WWG+VzqfOuVkeYANo3OL3bLfm2&#10;XWr1rFa6jx62j5L8MIBL2Kk6P5e7c90ro3X3VZbAJ95Y6RPfVbp1LiAltPP47o/40p1FBD4mWRKl&#10;cRYgArJJmvXokwYocjbjcQwUgSidJkfZw8H2Jpn0holnLcR5f6UPcwjL0Q51ZE5QmT+D6rnBinoG&#10;jINipRErIY8ACdxC9p8he6+C0tgl424Htbno4SQ7McCJhJw3WNTUa7/sFRh7C4j+zMQdDHDxW3gv&#10;QHUAeZoCiA7g1zDhXGljl1S2yG2KwFiNWd3YuRQC2kTq2POIt4/GOvZPBo5WIReMc98tXKDOcTmO&#10;osibGMlZ6cRO0eh6PecabbHruOhLlB3ieKUGlS1K766huHwY9hYz3u/hei58DfaI9NiuZblfaRfd&#10;wPOVCE8vEJ5clfBJGkH5+94YD73xLxK+WEBR/AeEjy8Qnl6V8CzNYFB6wlNfajg/Ej6Z9h3eT5DD&#10;IDw17BU7fAG/v0y4H/Dw/PmZNDzV7n09P/uJcPpDMfsJAAD//wMAUEsDBBQABgAIAAAAIQBejQbJ&#10;4gAAAA0BAAAPAAAAZHJzL2Rvd25yZXYueG1sTI/BasMwDIbvg72D0WC31nHCkpLFKaVsO5XB2sHo&#10;TY3VJDS2Q+wm6dvPY4ftKOnj1/cX61l3bKTBtdZIEMsIGJnKqtbUEj4Pr4sVMOfRKOysIQk3crAu&#10;7+8KzJWdzAeNe1+zEGJcjhIa7/ucc1c1pNEtbU8m3M520OjDONRcDTiFcN3xOIpSrrE14UODPW0b&#10;qi77q5bwNuG0ScTLuLuct7fj4en9aydIyseHefMMzNPs/2D40Q/qUAank70a5VgnIc6SLKASFiJO&#10;YmABSbMoBXb6XQngZcH/tyi/AQAA//8DAFBLAQItABQABgAIAAAAIQC2gziS/gAAAOEBAAATAAAA&#10;AAAAAAAAAAAAAAAAAABbQ29udGVudF9UeXBlc10ueG1sUEsBAi0AFAAGAAgAAAAhADj9If/WAAAA&#10;lAEAAAsAAAAAAAAAAAAAAAAALwEAAF9yZWxzLy5yZWxzUEsBAi0AFAAGAAgAAAAhABh2HiR6AgAA&#10;mAgAAA4AAAAAAAAAAAAAAAAALgIAAGRycy9lMm9Eb2MueG1sUEsBAi0AFAAGAAgAAAAhAF6NBsni&#10;AAAADQEAAA8AAAAAAAAAAAAAAAAA1AQAAGRycy9kb3ducmV2LnhtbFBLBQYAAAAABAAEAPMAAADj&#10;BQAAAAA=&#10;">
                <v:shapetype id="_x0000_t32" coordsize="21600,21600" o:spt="32" o:oned="t" path="m,l21600,21600e" filled="f">
                  <v:path arrowok="t" fillok="f" o:connecttype="none"/>
                  <o:lock v:ext="edit" shapetype="t"/>
                </v:shapetype>
                <v:shape id="AutoShape 31" o:spid="_x0000_s1027" type="#_x0000_t32" style="position:absolute;left:4410;top:3925;width:9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3kXwgAAANoAAAAPAAAAZHJzL2Rvd25yZXYueG1sRI/BasMw&#10;EETvhf6D2EAvJZFrqFMcKyEEAqE3Jz70uFgb29haqZZqu39fFQo9DjPzhikOixnERKPvLCt42SQg&#10;iGurO24UVLfz+g2ED8gaB8uk4Js8HPaPDwXm2s5c0nQNjYgQ9jkqaENwuZS+bsmg31hHHL27HQ2G&#10;KMdG6hHnCDeDTJMkkwY7jgstOjq1VPfXL6OgdL27eTdpfn3/yKZnu60+661ST6vluAMRaAn/4b/2&#10;RStI4fdKvAFy/wMAAP//AwBQSwECLQAUAAYACAAAACEA2+H2y+4AAACFAQAAEwAAAAAAAAAAAAAA&#10;AAAAAAAAW0NvbnRlbnRfVHlwZXNdLnhtbFBLAQItABQABgAIAAAAIQBa9CxbvwAAABUBAAALAAAA&#10;AAAAAAAAAAAAAB8BAABfcmVscy8ucmVsc1BLAQItABQABgAIAAAAIQDM33kXwgAAANoAAAAPAAAA&#10;AAAAAAAAAAAAAAcCAABkcnMvZG93bnJldi54bWxQSwUGAAAAAAMAAwC3AAAA9gIAAAAA&#10;" strokecolor="#00b050" strokeweight="20pt"/>
                <v:shape id="AutoShape 32" o:spid="_x0000_s1028" type="#_x0000_t32" style="position:absolute;left:6306;top:3945;width:9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DqxQAAANoAAAAPAAAAZHJzL2Rvd25yZXYueG1sRI9Ba8JA&#10;FITvBf/D8oTe6qZaQxuzERELBb00FrS3R/aZhGbfhuyqSX99VxB6HGbmGyZd9qYRF+pcbVnB8yQC&#10;QVxYXXOp4Gv//vQKwnlkjY1lUjCQg2U2ekgx0fbKn3TJfSkChF2CCirv20RKV1Rk0E1sSxy8k+0M&#10;+iC7UuoOrwFuGjmNolgarDksVNjSuqLiJz8bBYdtPLxs9zHNz7vv9WxY2bffzVGpx3G/WoDw1Pv/&#10;8L39oRXM4HYl3ACZ/QEAAP//AwBQSwECLQAUAAYACAAAACEA2+H2y+4AAACFAQAAEwAAAAAAAAAA&#10;AAAAAAAAAAAAW0NvbnRlbnRfVHlwZXNdLnhtbFBLAQItABQABgAIAAAAIQBa9CxbvwAAABUBAAAL&#10;AAAAAAAAAAAAAAAAAB8BAABfcmVscy8ucmVsc1BLAQItABQABgAIAAAAIQCPwpDqxQAAANoAAAAP&#10;AAAAAAAAAAAAAAAAAAcCAABkcnMvZG93bnJldi54bWxQSwUGAAAAAAMAAwC3AAAA+QIAAAAA&#10;" strokecolor="red" strokeweight="20pt"/>
                <v:shape id="AutoShape 33" o:spid="_x0000_s1029" type="#_x0000_t32" style="position:absolute;left:5355;top:3932;width:96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zXwgAAANoAAAAPAAAAZHJzL2Rvd25yZXYueG1sRI/RagIx&#10;FETfC/5DuELfatYiUrZGqVqrb6L2A66b62ZtcrNs4rr+vREKPg4zc4aZzDpnRUtNqDwrGA4yEMSF&#10;1xWXCn4Pq7cPECEia7SeScGNAsymvZcJ5tpfeUftPpYiQTjkqMDEWOdShsKQwzDwNXHyTr5xGJNs&#10;SqkbvCa4s/I9y8bSYcVpwWBNC0PF3/7iFHwbY7fnY/mz7i7ZeXlsT3NbbJV67XdfnyAidfEZ/m9v&#10;tIIRPK6kGyCndwAAAP//AwBQSwECLQAUAAYACAAAACEA2+H2y+4AAACFAQAAEwAAAAAAAAAAAAAA&#10;AAAAAAAAW0NvbnRlbnRfVHlwZXNdLnhtbFBLAQItABQABgAIAAAAIQBa9CxbvwAAABUBAAALAAAA&#10;AAAAAAAAAAAAAB8BAABfcmVscy8ucmVsc1BLAQItABQABgAIAAAAIQBdXqzXwgAAANoAAAAPAAAA&#10;AAAAAAAAAAAAAAcCAABkcnMvZG93bnJldi54bWxQSwUGAAAAAAMAAwC3AAAA9gIAAAAA&#10;" strokecolor="yellow" strokeweight="20pt"/>
                <w10:wrap anchorx="margin"/>
              </v:group>
            </w:pict>
          </mc:Fallback>
        </mc:AlternateContent>
      </w:r>
      <w:r w:rsidRPr="002033B4">
        <w:rPr>
          <w:rFonts w:eastAsiaTheme="minorEastAsia"/>
          <w:noProof/>
          <w:kern w:val="0"/>
          <w:lang w:eastAsia="fr-FR"/>
          <w14:ligatures w14:val="none"/>
        </w:rPr>
        <w:t xml:space="preserve">     </w:t>
      </w:r>
      <w:r w:rsidRPr="002033B4">
        <w:rPr>
          <w:rFonts w:eastAsiaTheme="minorEastAsia"/>
          <w:noProof/>
          <w:kern w:val="0"/>
          <w:lang w:eastAsia="fr-FR"/>
          <w14:ligatures w14:val="none"/>
        </w:rPr>
        <w:drawing>
          <wp:anchor distT="0" distB="0" distL="114300" distR="114300" simplePos="0" relativeHeight="251662336" behindDoc="1" locked="0" layoutInCell="1" allowOverlap="1" wp14:anchorId="3BA66B44" wp14:editId="7A6DD5C2">
            <wp:simplePos x="0" y="0"/>
            <wp:positionH relativeFrom="column">
              <wp:posOffset>-320633</wp:posOffset>
            </wp:positionH>
            <wp:positionV relativeFrom="paragraph">
              <wp:posOffset>5963</wp:posOffset>
            </wp:positionV>
            <wp:extent cx="2476500" cy="742950"/>
            <wp:effectExtent l="0" t="0" r="0" b="0"/>
            <wp:wrapTight wrapText="bothSides">
              <wp:wrapPolygon edited="0">
                <wp:start x="11631" y="0"/>
                <wp:lineTo x="997" y="554"/>
                <wp:lineTo x="0" y="6646"/>
                <wp:lineTo x="0" y="18831"/>
                <wp:lineTo x="12794" y="19938"/>
                <wp:lineTo x="13625" y="19938"/>
                <wp:lineTo x="20935" y="18831"/>
                <wp:lineTo x="21434" y="13292"/>
                <wp:lineTo x="21434" y="4985"/>
                <wp:lineTo x="20437" y="3877"/>
                <wp:lineTo x="12295" y="0"/>
                <wp:lineTo x="11631" y="0"/>
              </wp:wrapPolygon>
            </wp:wrapTight>
            <wp:docPr id="17" name="Image 1"/>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rotWithShape="1">
                    <a:blip r:embed="rId6" cstate="print">
                      <a:extLst>
                        <a:ext uri="{28A0092B-C50C-407E-A947-70E740481C1C}">
                          <a14:useLocalDpi xmlns:a14="http://schemas.microsoft.com/office/drawing/2010/main" val="0"/>
                        </a:ext>
                      </a:extLst>
                    </a:blip>
                    <a:srcRect l="14970" t="27682" r="22464" b="22812"/>
                    <a:stretch/>
                  </pic:blipFill>
                  <pic:spPr bwMode="auto">
                    <a:xfrm>
                      <a:off x="0" y="0"/>
                      <a:ext cx="2476500" cy="742950"/>
                    </a:xfrm>
                    <a:prstGeom prst="rect">
                      <a:avLst/>
                    </a:prstGeom>
                    <a:ln>
                      <a:noFill/>
                    </a:ln>
                    <a:extLst>
                      <a:ext uri="{53640926-AAD7-44D8-BBD7-CCE9431645EC}">
                        <a14:shadowObscured xmlns:a14="http://schemas.microsoft.com/office/drawing/2010/main"/>
                      </a:ext>
                    </a:extLst>
                  </pic:spPr>
                </pic:pic>
              </a:graphicData>
            </a:graphic>
          </wp:anchor>
        </w:drawing>
      </w:r>
      <w:r w:rsidRPr="002033B4">
        <w:rPr>
          <w:rFonts w:ascii="Garamond" w:eastAsiaTheme="minorEastAsia" w:hAnsi="Garamond"/>
          <w:b/>
          <w:kern w:val="0"/>
          <w:sz w:val="34"/>
          <w:szCs w:val="34"/>
          <w:lang w:eastAsia="fr-FR"/>
          <w14:ligatures w14:val="none"/>
        </w:rPr>
        <w:t xml:space="preserve">                                                         </w:t>
      </w:r>
    </w:p>
    <w:p w:rsidR="002033B4" w:rsidRPr="002033B4" w:rsidRDefault="002033B4" w:rsidP="002033B4">
      <w:pPr>
        <w:tabs>
          <w:tab w:val="left" w:pos="4080"/>
        </w:tabs>
        <w:spacing w:after="200" w:line="276" w:lineRule="auto"/>
        <w:rPr>
          <w:rFonts w:eastAsiaTheme="minorEastAsia"/>
          <w:b/>
          <w:kern w:val="0"/>
          <w:sz w:val="4"/>
          <w:szCs w:val="4"/>
          <w:lang w:eastAsia="fr-FR"/>
          <w14:ligatures w14:val="none"/>
        </w:rPr>
      </w:pPr>
    </w:p>
    <w:tbl>
      <w:tblPr>
        <w:tblStyle w:val="Grilledutableau"/>
        <w:tblpPr w:leftFromText="141" w:rightFromText="141" w:vertAnchor="text" w:horzAnchor="margin" w:tblpXSpec="center" w:tblpY="894"/>
        <w:tblW w:w="10910" w:type="dxa"/>
        <w:tblLook w:val="04A0" w:firstRow="1" w:lastRow="0" w:firstColumn="1" w:lastColumn="0" w:noHBand="0" w:noVBand="1"/>
      </w:tblPr>
      <w:tblGrid>
        <w:gridCol w:w="10910"/>
      </w:tblGrid>
      <w:tr w:rsidR="002033B4" w:rsidRPr="002033B4" w:rsidTr="002033B4">
        <w:trPr>
          <w:trHeight w:val="2117"/>
        </w:trPr>
        <w:tc>
          <w:tcPr>
            <w:tcW w:w="10910" w:type="dxa"/>
            <w:shd w:val="clear" w:color="auto" w:fill="DEEAF6" w:themeFill="accent5" w:themeFillTint="33"/>
            <w:vAlign w:val="center"/>
          </w:tcPr>
          <w:p w:rsidR="002033B4" w:rsidRPr="002033B4" w:rsidRDefault="002033B4" w:rsidP="002033B4">
            <w:pPr>
              <w:spacing w:after="200" w:line="276" w:lineRule="auto"/>
              <w:jc w:val="center"/>
              <w:rPr>
                <w:rFonts w:ascii="Georgia" w:hAnsi="Georgia" w:cs="Arial"/>
                <w:b/>
                <w:sz w:val="28"/>
                <w:szCs w:val="28"/>
              </w:rPr>
            </w:pPr>
            <w:r w:rsidRPr="002033B4">
              <w:rPr>
                <w:rFonts w:ascii="Georgia" w:hAnsi="Georgia" w:cs="Arial"/>
                <w:b/>
                <w:sz w:val="28"/>
                <w:szCs w:val="28"/>
              </w:rPr>
              <w:t>AVIS D’APPEL À MANIFESTATION D’INTERET POUR L’ACTUALISATION DU REPERTOIRE DES CENTRES DE FORMATION PROFESSIONNELLE AU TITRE DE L’ANNEE 2026</w:t>
            </w:r>
          </w:p>
          <w:p w:rsidR="002033B4" w:rsidRPr="002033B4" w:rsidRDefault="002033B4" w:rsidP="002033B4">
            <w:pPr>
              <w:spacing w:after="200" w:line="276" w:lineRule="auto"/>
              <w:jc w:val="center"/>
              <w:rPr>
                <w:rFonts w:ascii="Arial" w:hAnsi="Arial" w:cs="Arial"/>
                <w:b/>
                <w:sz w:val="28"/>
                <w:szCs w:val="28"/>
              </w:rPr>
            </w:pPr>
            <w:r w:rsidRPr="002033B4">
              <w:rPr>
                <w:rFonts w:ascii="Georgia" w:hAnsi="Georgia" w:cs="Arial"/>
                <w:sz w:val="28"/>
                <w:szCs w:val="28"/>
              </w:rPr>
              <w:t xml:space="preserve">AVIS </w:t>
            </w:r>
            <w:r w:rsidRPr="002033B4">
              <w:rPr>
                <w:rFonts w:ascii="Georgia" w:hAnsi="Georgia" w:cs="Arial"/>
                <w:noProof/>
                <w:sz w:val="28"/>
                <w:szCs w:val="28"/>
              </w:rPr>
              <w:t>----------------</w:t>
            </w:r>
            <w:r w:rsidRPr="002033B4">
              <w:rPr>
                <w:rFonts w:ascii="Georgia" w:hAnsi="Georgia" w:cs="Arial"/>
                <w:sz w:val="28"/>
                <w:szCs w:val="28"/>
              </w:rPr>
              <w:t>MASM /ANPS/DF/SP</w:t>
            </w:r>
          </w:p>
        </w:tc>
      </w:tr>
    </w:tbl>
    <w:p w:rsidR="002033B4" w:rsidRPr="002033B4" w:rsidRDefault="002033B4" w:rsidP="002033B4">
      <w:pPr>
        <w:rPr>
          <w:rFonts w:asciiTheme="majorHAnsi" w:eastAsiaTheme="minorEastAsia" w:hAnsiTheme="majorHAnsi"/>
          <w:kern w:val="0"/>
          <w:sz w:val="28"/>
          <w:szCs w:val="28"/>
          <w:lang w:eastAsia="fr-FR"/>
          <w14:ligatures w14:val="none"/>
        </w:rPr>
      </w:pPr>
      <w:r w:rsidRPr="002033B4">
        <w:rPr>
          <w:rFonts w:eastAsiaTheme="minorEastAsia"/>
          <w:noProof/>
          <w:kern w:val="0"/>
          <w:lang w:eastAsia="fr-FR"/>
          <w14:ligatures w14:val="none"/>
        </w:rPr>
        <w:tab/>
        <w:t xml:space="preserve">                                                                         </w:t>
      </w:r>
      <w:r w:rsidRPr="002033B4">
        <w:rPr>
          <w:rFonts w:eastAsiaTheme="minorEastAsia"/>
          <w:noProof/>
          <w:kern w:val="0"/>
          <w:lang w:eastAsia="fr-FR"/>
          <w14:ligatures w14:val="none"/>
        </w:rPr>
        <w:tab/>
      </w:r>
      <w:r w:rsidRPr="002033B4">
        <w:rPr>
          <w:rFonts w:ascii="Montserrat Light" w:eastAsiaTheme="minorEastAsia" w:hAnsi="Montserrat Light"/>
          <w:b/>
          <w:kern w:val="0"/>
          <w:sz w:val="24"/>
          <w:szCs w:val="24"/>
          <w:lang w:eastAsia="fr-FR"/>
          <w14:ligatures w14:val="none"/>
        </w:rPr>
        <w:tab/>
        <w:t xml:space="preserve">                                                     </w:t>
      </w:r>
      <w:r w:rsidRPr="002033B4">
        <w:rPr>
          <w:rFonts w:ascii="Bookman Old Style" w:eastAsiaTheme="minorEastAsia" w:hAnsi="Bookman Old Style" w:cs="Arial"/>
          <w:kern w:val="0"/>
          <w:sz w:val="26"/>
          <w:szCs w:val="26"/>
          <w:lang w:eastAsia="fr-FR"/>
          <w14:ligatures w14:val="none"/>
        </w:rPr>
        <w:tab/>
      </w:r>
      <w:r w:rsidRPr="002033B4">
        <w:rPr>
          <w:rFonts w:ascii="Bookman Old Style" w:eastAsiaTheme="minorEastAsia" w:hAnsi="Bookman Old Style" w:cs="Arial"/>
          <w:kern w:val="0"/>
          <w:sz w:val="26"/>
          <w:szCs w:val="26"/>
          <w:lang w:eastAsia="fr-FR"/>
          <w14:ligatures w14:val="none"/>
        </w:rPr>
        <w:tab/>
      </w:r>
      <w:r w:rsidRPr="002033B4">
        <w:rPr>
          <w:rFonts w:ascii="Bookman Old Style" w:eastAsiaTheme="minorEastAsia" w:hAnsi="Bookman Old Style" w:cs="Arial"/>
          <w:kern w:val="0"/>
          <w:sz w:val="26"/>
          <w:szCs w:val="26"/>
          <w:lang w:eastAsia="fr-FR"/>
          <w14:ligatures w14:val="none"/>
        </w:rPr>
        <w:tab/>
      </w:r>
      <w:r w:rsidRPr="002033B4">
        <w:rPr>
          <w:rFonts w:ascii="Bookman Old Style" w:eastAsiaTheme="minorEastAsia" w:hAnsi="Bookman Old Style" w:cs="Arial"/>
          <w:kern w:val="0"/>
          <w:sz w:val="26"/>
          <w:szCs w:val="26"/>
          <w:lang w:eastAsia="fr-FR"/>
          <w14:ligatures w14:val="none"/>
        </w:rPr>
        <w:tab/>
      </w:r>
      <w:r w:rsidRPr="002033B4">
        <w:rPr>
          <w:rFonts w:ascii="Arial Narrow" w:eastAsiaTheme="minorEastAsia" w:hAnsi="Arial Narrow" w:cs="Arial"/>
          <w:kern w:val="0"/>
          <w:sz w:val="26"/>
          <w:szCs w:val="26"/>
          <w:lang w:eastAsia="fr-FR"/>
          <w14:ligatures w14:val="none"/>
        </w:rPr>
        <w:tab/>
      </w:r>
      <w:r w:rsidRPr="002033B4">
        <w:rPr>
          <w:rFonts w:asciiTheme="majorHAnsi" w:eastAsiaTheme="minorEastAsia" w:hAnsiTheme="majorHAnsi"/>
          <w:kern w:val="0"/>
          <w:sz w:val="28"/>
          <w:szCs w:val="28"/>
          <w:lang w:eastAsia="fr-FR"/>
          <w14:ligatures w14:val="none"/>
        </w:rPr>
        <w:t xml:space="preserve">  </w:t>
      </w:r>
    </w:p>
    <w:p w:rsidR="002033B4" w:rsidRPr="002033B4" w:rsidRDefault="002033B4" w:rsidP="002033B4">
      <w:pPr>
        <w:spacing w:after="0" w:line="240" w:lineRule="auto"/>
        <w:jc w:val="center"/>
        <w:rPr>
          <w:rFonts w:ascii="Arial" w:eastAsiaTheme="majorEastAsia" w:hAnsi="Arial" w:cs="Arial"/>
          <w:b/>
          <w:color w:val="262626" w:themeColor="text1" w:themeTint="D9"/>
          <w:sz w:val="28"/>
          <w:szCs w:val="28"/>
          <w:u w:val="single"/>
          <w:lang w:eastAsia="zh-CN"/>
          <w14:ligatures w14:val="none"/>
        </w:rPr>
      </w:pPr>
    </w:p>
    <w:p w:rsidR="002033B4" w:rsidRPr="002033B4" w:rsidRDefault="002033B4" w:rsidP="002033B4">
      <w:pPr>
        <w:numPr>
          <w:ilvl w:val="0"/>
          <w:numId w:val="4"/>
        </w:numPr>
        <w:spacing w:after="200" w:line="276" w:lineRule="auto"/>
        <w:contextualSpacing/>
        <w:jc w:val="both"/>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t xml:space="preserve">Contexte </w:t>
      </w:r>
    </w:p>
    <w:p w:rsidR="002033B4" w:rsidRPr="002033B4" w:rsidRDefault="002033B4" w:rsidP="002033B4">
      <w:pPr>
        <w:spacing w:after="200" w:line="276" w:lineRule="auto"/>
        <w:jc w:val="both"/>
        <w:rPr>
          <w:rFonts w:ascii="Georgia" w:eastAsia="Times New Roman" w:hAnsi="Georgia" w:cs="Arial"/>
          <w:kern w:val="0"/>
          <w:sz w:val="24"/>
          <w:szCs w:val="24"/>
          <w:lang w:val="en-US"/>
          <w14:ligatures w14:val="none"/>
        </w:rPr>
      </w:pPr>
      <w:r w:rsidRPr="002033B4">
        <w:rPr>
          <w:rFonts w:ascii="Georgia" w:eastAsia="Times New Roman" w:hAnsi="Georgia" w:cs="Arial"/>
          <w:kern w:val="0"/>
          <w:sz w:val="24"/>
          <w:szCs w:val="24"/>
          <w14:ligatures w14:val="none"/>
        </w:rPr>
        <w:t>Dans le cadre de l'exécution de son Plan de Travail Annuel 2026, l'Agence Nationale de Protection Sociale (ANPS) lance un appel à manifestation d'intérêt à l'endroit des centres publics ou privés agréés de formation professionnelle en vue de mettre à jour son répertoire des centres de formation. L'objectif visé est de disposer d'un large répertoire de centres de formation qualifiés dans les domaines d'activités du volet formation</w:t>
      </w:r>
      <w:r w:rsidRPr="002033B4">
        <w:rPr>
          <w:rFonts w:ascii="Georgia" w:eastAsia="Times New Roman" w:hAnsi="Georgia" w:cs="Arial"/>
          <w:kern w:val="0"/>
          <w:sz w:val="24"/>
          <w:szCs w:val="24"/>
          <w:lang w:val="en-US"/>
          <w14:ligatures w14:val="none"/>
        </w:rPr>
        <w:t xml:space="preserve"> de ARCH.</w:t>
      </w:r>
    </w:p>
    <w:p w:rsidR="002033B4" w:rsidRPr="002033B4" w:rsidRDefault="002033B4" w:rsidP="002033B4">
      <w:pPr>
        <w:numPr>
          <w:ilvl w:val="0"/>
          <w:numId w:val="4"/>
        </w:numPr>
        <w:spacing w:after="200" w:line="276" w:lineRule="auto"/>
        <w:contextualSpacing/>
        <w:jc w:val="both"/>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t xml:space="preserve">Domaine de formation et missions des centres </w:t>
      </w:r>
    </w:p>
    <w:p w:rsidR="002033B4" w:rsidRPr="002033B4" w:rsidRDefault="002033B4" w:rsidP="002033B4">
      <w:pPr>
        <w:spacing w:after="200" w:line="240"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Les centres candidats doivent être en mesure d'assurer des sessions de formation technique et professionnelle. Ces formations doivent être aussi bien théoriques que pratiques, dans les métiers de l'artisanat suivants : </w:t>
      </w:r>
    </w:p>
    <w:p w:rsidR="002033B4" w:rsidRPr="002033B4" w:rsidRDefault="002033B4" w:rsidP="002033B4">
      <w:pPr>
        <w:widowControl w:val="0"/>
        <w:numPr>
          <w:ilvl w:val="0"/>
          <w:numId w:val="3"/>
        </w:numPr>
        <w:spacing w:after="0" w:line="276" w:lineRule="auto"/>
        <w:contextualSpacing/>
        <w:jc w:val="both"/>
        <w:rPr>
          <w:rFonts w:ascii="Georgia" w:eastAsia="Calibri" w:hAnsi="Georgia" w:cs="Arial"/>
          <w:b/>
          <w:kern w:val="0"/>
          <w:sz w:val="24"/>
          <w:szCs w:val="24"/>
          <w14:ligatures w14:val="none"/>
        </w:rPr>
      </w:pPr>
      <w:r w:rsidRPr="002033B4">
        <w:rPr>
          <w:rFonts w:ascii="Georgia" w:eastAsia="Calibri" w:hAnsi="Georgia" w:cs="Arial"/>
          <w:b/>
          <w:kern w:val="0"/>
          <w:sz w:val="24"/>
          <w:szCs w:val="24"/>
          <w14:ligatures w14:val="none"/>
        </w:rPr>
        <w:t>Transformation des fruits et légumes</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Transformation des céréales et tubercules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Transformation du lait en fromage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Boulangerie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Pâtisserie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Hygiène en restauration,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Hygiène en agro-alimentaire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Paysagiste / jardinier</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Fonctionnement et dépannage d’une mini-rizerie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Fabrication et maintenance d’un kit d’étuvage de riz</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Fabrication et maintenance d’une égreneuse vanneuse de maïs de type Aziza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Fabrication et maintenance d’une égreneuse vanneuse de soja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Installation et entretien des réseaux d’irrigation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Installation, entretien et maintenance des pompes et motopompes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Utilisation des techniques modernes de fabrication des matériaux en inox et du soudage des équipements agricoles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Utilisation efficiente et durable des équipements agricoles pour une mécanisation raisonnée de la production végétale</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Maintenance mécanique des tracteurs</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lastRenderedPageBreak/>
        <w:t xml:space="preserve">Maintenance des voitures : diagnostic et réparation de l’électronique embarquée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Mécanique 2 roues : moteur à 4 temps</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Soudure mécanique</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Froid et climatisation : maintenance des nouvelles marques d’appareils</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Electricité bâtiment et photovoltaïque : Niveau 1 de la formation labélisée de la CEDEAO</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Plomberie : WC suspendus</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Menuiserie bois : mesure et standardisation </w:t>
      </w:r>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 xml:space="preserve">Réparation des téléphones portable : </w:t>
      </w:r>
      <w:proofErr w:type="spellStart"/>
      <w:r w:rsidRPr="002033B4">
        <w:rPr>
          <w:rFonts w:ascii="Arial" w:eastAsia="Calibri" w:hAnsi="Arial" w:cs="Arial"/>
          <w:b/>
          <w:kern w:val="0"/>
          <w:sz w:val="24"/>
          <w:szCs w:val="24"/>
          <w14:ligatures w14:val="none"/>
        </w:rPr>
        <w:t>micro-soudure</w:t>
      </w:r>
      <w:proofErr w:type="spellEnd"/>
    </w:p>
    <w:p w:rsidR="002033B4" w:rsidRPr="002033B4" w:rsidRDefault="002033B4" w:rsidP="002033B4">
      <w:pPr>
        <w:widowControl w:val="0"/>
        <w:numPr>
          <w:ilvl w:val="0"/>
          <w:numId w:val="3"/>
        </w:numPr>
        <w:spacing w:after="0" w:line="276" w:lineRule="auto"/>
        <w:contextualSpacing/>
        <w:jc w:val="both"/>
        <w:rPr>
          <w:rFonts w:ascii="Arial" w:eastAsia="Calibri" w:hAnsi="Arial" w:cs="Arial"/>
          <w:b/>
          <w:kern w:val="0"/>
          <w:sz w:val="24"/>
          <w:szCs w:val="24"/>
          <w14:ligatures w14:val="none"/>
        </w:rPr>
      </w:pPr>
      <w:r w:rsidRPr="002033B4">
        <w:rPr>
          <w:rFonts w:ascii="Arial" w:eastAsia="Calibri" w:hAnsi="Arial" w:cs="Arial"/>
          <w:b/>
          <w:kern w:val="0"/>
          <w:sz w:val="24"/>
          <w:szCs w:val="24"/>
          <w14:ligatures w14:val="none"/>
        </w:rPr>
        <w:t>Tissage et filage : innovation des motifs</w:t>
      </w:r>
    </w:p>
    <w:p w:rsidR="002033B4" w:rsidRPr="002033B4" w:rsidRDefault="002033B4" w:rsidP="002033B4">
      <w:pPr>
        <w:spacing w:after="0" w:line="276" w:lineRule="auto"/>
        <w:ind w:left="720"/>
        <w:contextualSpacing/>
        <w:jc w:val="both"/>
        <w:rPr>
          <w:rFonts w:ascii="Georgia" w:eastAsia="Calibri" w:hAnsi="Georgia" w:cs="Arial"/>
          <w:b/>
          <w:kern w:val="0"/>
          <w:sz w:val="24"/>
          <w:szCs w:val="24"/>
          <w14:ligatures w14:val="none"/>
        </w:rPr>
      </w:pPr>
    </w:p>
    <w:p w:rsidR="002033B4" w:rsidRPr="002033B4" w:rsidRDefault="002033B4" w:rsidP="002033B4">
      <w:pPr>
        <w:spacing w:after="264" w:line="240" w:lineRule="auto"/>
        <w:ind w:left="158" w:right="931"/>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Les centres agréés seront mandatés pour animer des sessions de renforcement de capacités au profit des artisans. Ils pourront également être sollicités pour soumettre des propositions de formation en réponse à des besoins spécifiques exprimés par les bénéficiaires.</w:t>
      </w:r>
    </w:p>
    <w:p w:rsidR="002033B4" w:rsidRPr="002033B4" w:rsidRDefault="002033B4" w:rsidP="002033B4">
      <w:pPr>
        <w:numPr>
          <w:ilvl w:val="0"/>
          <w:numId w:val="4"/>
        </w:numPr>
        <w:spacing w:after="200" w:line="276" w:lineRule="auto"/>
        <w:contextualSpacing/>
        <w:jc w:val="both"/>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t>Mission des centres de formation agréés</w:t>
      </w:r>
    </w:p>
    <w:p w:rsidR="002033B4" w:rsidRPr="002033B4" w:rsidRDefault="002033B4" w:rsidP="002033B4">
      <w:pPr>
        <w:spacing w:after="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La stratégie d'intervention de l'ANPS dans le volet Formation de ARCH est le faire-faire. Les centres de formation agréés ont un statut de prestataire de formation.  À ce titre, ils se verront confier par I'ANPS, la mission d'animer des sessions de formation au profit des artisans.  </w:t>
      </w:r>
    </w:p>
    <w:p w:rsidR="002033B4" w:rsidRPr="002033B4" w:rsidRDefault="002033B4" w:rsidP="002033B4">
      <w:pPr>
        <w:spacing w:after="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Tout centre de formation retenu pour la mise en œuvre d'une action de formation, doit retenir parmi les formateurs agréés et qualifiés, celui qui assumera l'animation de la formation.</w:t>
      </w:r>
    </w:p>
    <w:p w:rsidR="002033B4" w:rsidRPr="002033B4" w:rsidRDefault="002033B4" w:rsidP="002033B4">
      <w:pPr>
        <w:spacing w:after="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Dans cette logique, même les formateurs affiliés à un centre (en qualité de collaborateur ou de salarié) doivent se faire agréés par I'ANPS avant d'être autorisés à animer des sessions de formation dans le cadre de ARCH formation.</w:t>
      </w:r>
    </w:p>
    <w:p w:rsidR="002033B4" w:rsidRPr="002033B4" w:rsidRDefault="002033B4" w:rsidP="002033B4">
      <w:pPr>
        <w:spacing w:after="200" w:line="276" w:lineRule="auto"/>
        <w:ind w:left="720"/>
        <w:contextualSpacing/>
        <w:jc w:val="both"/>
        <w:rPr>
          <w:rFonts w:ascii="Georgia" w:eastAsia="Times New Roman" w:hAnsi="Georgia" w:cs="Arial"/>
          <w:b/>
          <w:bCs/>
          <w:kern w:val="0"/>
          <w:sz w:val="24"/>
          <w:szCs w:val="24"/>
          <w14:ligatures w14:val="none"/>
        </w:rPr>
      </w:pPr>
    </w:p>
    <w:p w:rsidR="002033B4" w:rsidRPr="002033B4" w:rsidRDefault="002033B4" w:rsidP="002033B4">
      <w:pPr>
        <w:numPr>
          <w:ilvl w:val="0"/>
          <w:numId w:val="4"/>
        </w:numPr>
        <w:spacing w:after="200" w:line="276" w:lineRule="auto"/>
        <w:contextualSpacing/>
        <w:jc w:val="both"/>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t xml:space="preserve">Conditions à remplir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Sont admis à manifester leur intérêt pour le présent avis, les opérateurs publics ou privés de formation en activité. II peut s'agir :</w:t>
      </w:r>
    </w:p>
    <w:p w:rsidR="002033B4" w:rsidRPr="002033B4" w:rsidRDefault="002033B4" w:rsidP="002033B4">
      <w:pPr>
        <w:numPr>
          <w:ilvl w:val="0"/>
          <w:numId w:val="5"/>
        </w:numPr>
        <w:spacing w:after="200" w:line="276" w:lineRule="auto"/>
        <w:contextualSpacing/>
        <w:jc w:val="both"/>
        <w:rPr>
          <w:rFonts w:ascii="Georgia" w:eastAsia="Times New Roman" w:hAnsi="Georgia" w:cs="Arial"/>
          <w:kern w:val="0"/>
          <w:sz w:val="24"/>
          <w:szCs w:val="24"/>
          <w14:ligatures w14:val="none"/>
        </w:rPr>
      </w:pPr>
      <w:proofErr w:type="gramStart"/>
      <w:r w:rsidRPr="002033B4">
        <w:rPr>
          <w:rFonts w:ascii="Georgia" w:eastAsia="Times New Roman" w:hAnsi="Georgia" w:cs="Arial"/>
          <w:kern w:val="0"/>
          <w:sz w:val="24"/>
          <w:szCs w:val="24"/>
          <w14:ligatures w14:val="none"/>
        </w:rPr>
        <w:t>de</w:t>
      </w:r>
      <w:proofErr w:type="gramEnd"/>
      <w:r w:rsidRPr="002033B4">
        <w:rPr>
          <w:rFonts w:ascii="Georgia" w:eastAsia="Times New Roman" w:hAnsi="Georgia" w:cs="Arial"/>
          <w:kern w:val="0"/>
          <w:sz w:val="24"/>
          <w:szCs w:val="24"/>
          <w14:ligatures w14:val="none"/>
        </w:rPr>
        <w:t xml:space="preserve"> cabinets privés ;</w:t>
      </w:r>
    </w:p>
    <w:p w:rsidR="002033B4" w:rsidRPr="002033B4" w:rsidRDefault="002033B4" w:rsidP="002033B4">
      <w:pPr>
        <w:numPr>
          <w:ilvl w:val="0"/>
          <w:numId w:val="5"/>
        </w:numPr>
        <w:spacing w:after="200" w:line="276" w:lineRule="auto"/>
        <w:contextualSpacing/>
        <w:jc w:val="both"/>
        <w:rPr>
          <w:rFonts w:ascii="Georgia" w:eastAsia="Times New Roman" w:hAnsi="Georgia" w:cs="Arial"/>
          <w:kern w:val="0"/>
          <w:sz w:val="24"/>
          <w:szCs w:val="24"/>
          <w14:ligatures w14:val="none"/>
        </w:rPr>
      </w:pPr>
      <w:proofErr w:type="gramStart"/>
      <w:r w:rsidRPr="002033B4">
        <w:rPr>
          <w:rFonts w:ascii="Georgia" w:eastAsia="Times New Roman" w:hAnsi="Georgia" w:cs="Arial"/>
          <w:kern w:val="0"/>
          <w:sz w:val="24"/>
          <w:szCs w:val="24"/>
          <w14:ligatures w14:val="none"/>
        </w:rPr>
        <w:t>d’établissements</w:t>
      </w:r>
      <w:proofErr w:type="gramEnd"/>
      <w:r w:rsidRPr="002033B4">
        <w:rPr>
          <w:rFonts w:ascii="Georgia" w:eastAsia="Times New Roman" w:hAnsi="Georgia" w:cs="Arial"/>
          <w:kern w:val="0"/>
          <w:sz w:val="24"/>
          <w:szCs w:val="24"/>
          <w14:ligatures w14:val="none"/>
        </w:rPr>
        <w:t xml:space="preserve"> publics de formation ;</w:t>
      </w:r>
    </w:p>
    <w:p w:rsidR="002033B4" w:rsidRPr="002033B4" w:rsidRDefault="002033B4" w:rsidP="002033B4">
      <w:pPr>
        <w:numPr>
          <w:ilvl w:val="0"/>
          <w:numId w:val="5"/>
        </w:numPr>
        <w:spacing w:after="200" w:line="276" w:lineRule="auto"/>
        <w:contextualSpacing/>
        <w:jc w:val="both"/>
        <w:rPr>
          <w:rFonts w:ascii="Georgia" w:eastAsia="Times New Roman" w:hAnsi="Georgia" w:cs="Arial"/>
          <w:kern w:val="0"/>
          <w:sz w:val="24"/>
          <w:szCs w:val="24"/>
          <w14:ligatures w14:val="none"/>
        </w:rPr>
      </w:pPr>
      <w:proofErr w:type="gramStart"/>
      <w:r w:rsidRPr="002033B4">
        <w:rPr>
          <w:rFonts w:ascii="Georgia" w:eastAsia="Times New Roman" w:hAnsi="Georgia" w:cs="Arial"/>
          <w:kern w:val="0"/>
          <w:sz w:val="24"/>
          <w:szCs w:val="24"/>
          <w14:ligatures w14:val="none"/>
        </w:rPr>
        <w:t>d’établissements</w:t>
      </w:r>
      <w:proofErr w:type="gramEnd"/>
      <w:r w:rsidRPr="002033B4">
        <w:rPr>
          <w:rFonts w:ascii="Georgia" w:eastAsia="Times New Roman" w:hAnsi="Georgia" w:cs="Arial"/>
          <w:kern w:val="0"/>
          <w:sz w:val="24"/>
          <w:szCs w:val="24"/>
          <w14:ligatures w14:val="none"/>
        </w:rPr>
        <w:t xml:space="preserve"> privés de formation ;</w:t>
      </w:r>
    </w:p>
    <w:p w:rsidR="002033B4" w:rsidRPr="002033B4" w:rsidRDefault="002033B4" w:rsidP="002033B4">
      <w:pPr>
        <w:numPr>
          <w:ilvl w:val="0"/>
          <w:numId w:val="5"/>
        </w:numPr>
        <w:spacing w:after="200" w:line="276" w:lineRule="auto"/>
        <w:contextualSpacing/>
        <w:jc w:val="both"/>
        <w:rPr>
          <w:rFonts w:ascii="Georgia" w:eastAsia="Times New Roman" w:hAnsi="Georgia" w:cs="Arial"/>
          <w:kern w:val="0"/>
          <w:sz w:val="24"/>
          <w:szCs w:val="24"/>
          <w14:ligatures w14:val="none"/>
        </w:rPr>
      </w:pPr>
      <w:proofErr w:type="gramStart"/>
      <w:r w:rsidRPr="002033B4">
        <w:rPr>
          <w:rFonts w:ascii="Georgia" w:eastAsia="Times New Roman" w:hAnsi="Georgia" w:cs="Arial"/>
          <w:kern w:val="0"/>
          <w:sz w:val="24"/>
          <w:szCs w:val="24"/>
          <w14:ligatures w14:val="none"/>
        </w:rPr>
        <w:t>de</w:t>
      </w:r>
      <w:proofErr w:type="gramEnd"/>
      <w:r w:rsidRPr="002033B4">
        <w:rPr>
          <w:rFonts w:ascii="Georgia" w:eastAsia="Times New Roman" w:hAnsi="Georgia" w:cs="Arial"/>
          <w:kern w:val="0"/>
          <w:sz w:val="24"/>
          <w:szCs w:val="24"/>
          <w14:ligatures w14:val="none"/>
        </w:rPr>
        <w:t xml:space="preserve"> centres de formation intégrés aux entreprises ;</w:t>
      </w:r>
    </w:p>
    <w:p w:rsidR="002033B4" w:rsidRPr="002033B4" w:rsidRDefault="002033B4" w:rsidP="002033B4">
      <w:pPr>
        <w:numPr>
          <w:ilvl w:val="0"/>
          <w:numId w:val="5"/>
        </w:numPr>
        <w:spacing w:after="200" w:line="276" w:lineRule="auto"/>
        <w:contextualSpacing/>
        <w:jc w:val="both"/>
        <w:rPr>
          <w:rFonts w:ascii="Georgia" w:eastAsia="Times New Roman" w:hAnsi="Georgia" w:cs="Arial"/>
          <w:kern w:val="0"/>
          <w:sz w:val="24"/>
          <w:szCs w:val="24"/>
          <w14:ligatures w14:val="none"/>
        </w:rPr>
      </w:pPr>
      <w:proofErr w:type="gramStart"/>
      <w:r w:rsidRPr="002033B4">
        <w:rPr>
          <w:rFonts w:ascii="Georgia" w:eastAsia="Times New Roman" w:hAnsi="Georgia" w:cs="Arial"/>
          <w:kern w:val="0"/>
          <w:sz w:val="24"/>
          <w:szCs w:val="24"/>
          <w14:ligatures w14:val="none"/>
        </w:rPr>
        <w:t>d’ONG</w:t>
      </w:r>
      <w:proofErr w:type="gramEnd"/>
      <w:r w:rsidRPr="002033B4">
        <w:rPr>
          <w:rFonts w:ascii="Georgia" w:eastAsia="Times New Roman" w:hAnsi="Georgia" w:cs="Arial"/>
          <w:kern w:val="0"/>
          <w:sz w:val="24"/>
          <w:szCs w:val="24"/>
          <w14:ligatures w14:val="none"/>
        </w:rPr>
        <w:t xml:space="preserve"> et autres centres associatifs offrant des formations.</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Deux types de conditions sont à remplir pour obtenir l'agrément de I'ANPS. II s’agit des   conditions   administratives   et   des   conditions techniques.</w:t>
      </w:r>
    </w:p>
    <w:p w:rsidR="002033B4" w:rsidRPr="002033B4" w:rsidRDefault="002033B4" w:rsidP="002033B4">
      <w:pPr>
        <w:spacing w:after="200" w:line="276" w:lineRule="auto"/>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t>4.1.- Conditions administratives d'agrément</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L'organisme prestataire de formation doit remplir, au jour du dépôt des dossiers, les conditions suivantes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 Avoir une existence légale </w:t>
      </w:r>
      <w:r w:rsidRPr="002033B4">
        <w:rPr>
          <w:rFonts w:ascii="Georgia" w:eastAsia="Times New Roman" w:hAnsi="Georgia" w:cs="Arial"/>
          <w:kern w:val="0"/>
          <w:sz w:val="24"/>
          <w:szCs w:val="24"/>
          <w14:ligatures w14:val="none"/>
        </w:rPr>
        <w:tab/>
        <w:t>(Preuve d'immatriculation au RCCM /Journal officiel ou d'annonces légales pour les associations)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lastRenderedPageBreak/>
        <w:t>- Disposer de l'autorisation d'exercice délivrée par le Ministère en charge de l’Enseignement et de la Formation Professionnelle (pour les établissements privés de formation professionnelle) ;</w:t>
      </w:r>
      <w:r w:rsidRPr="002033B4">
        <w:rPr>
          <w:rFonts w:ascii="Georgia" w:eastAsia="Times New Roman" w:hAnsi="Georgia" w:cs="Arial"/>
          <w:kern w:val="0"/>
          <w:sz w:val="24"/>
          <w:szCs w:val="24"/>
          <w14:ligatures w14:val="none"/>
        </w:rPr>
        <w:tab/>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 Justifier d’une existence physique </w:t>
      </w:r>
      <w:r w:rsidRPr="002033B4">
        <w:rPr>
          <w:rFonts w:ascii="Georgia" w:eastAsia="Times New Roman" w:hAnsi="Georgia" w:cs="Arial"/>
          <w:kern w:val="0"/>
          <w:sz w:val="24"/>
          <w:szCs w:val="24"/>
          <w14:ligatures w14:val="none"/>
        </w:rPr>
        <w:tab/>
        <w:t>(Adresse : locaux, secrétariat, téléphone...)</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Être à jour vis-à-vis du FISC (Attestation fiscale)</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Disposer de l'immatriculation IFU (Attestation IFU)</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Être à jour des cotisations sociales (Attestation CNSS)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NB :   Ces   conditions   administratives   ne concernent pas les établissements publics de formation.</w:t>
      </w:r>
    </w:p>
    <w:p w:rsidR="002033B4" w:rsidRPr="002033B4" w:rsidRDefault="002033B4" w:rsidP="002033B4">
      <w:pPr>
        <w:spacing w:after="200" w:line="276" w:lineRule="auto"/>
        <w:jc w:val="both"/>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t>4.2.- Conditions techniques</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L'organisme prestataire de formation doit disposer et justifier de :</w:t>
      </w:r>
    </w:p>
    <w:p w:rsidR="002033B4" w:rsidRPr="002033B4" w:rsidRDefault="002033B4" w:rsidP="002033B4">
      <w:pPr>
        <w:numPr>
          <w:ilvl w:val="0"/>
          <w:numId w:val="6"/>
        </w:numPr>
        <w:spacing w:after="200" w:line="276" w:lineRule="auto"/>
        <w:contextualSpacing/>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Un personnel/collaborateurs formateurs (au moins deux formateurs par métier) ;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2- Salle (s) de formation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3- Équipements et matériels pédagogiques : tableaux, supports de formation, et de machines adaptées, etc...</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4- Bonnes références en matière de formation.</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u w:val="single"/>
          <w14:ligatures w14:val="none"/>
        </w:rPr>
        <w:t>NB</w:t>
      </w:r>
      <w:r w:rsidRPr="002033B4">
        <w:rPr>
          <w:rFonts w:ascii="Georgia" w:eastAsia="Times New Roman" w:hAnsi="Georgia" w:cs="Arial"/>
          <w:kern w:val="0"/>
          <w:sz w:val="24"/>
          <w:szCs w:val="24"/>
          <w14:ligatures w14:val="none"/>
        </w:rPr>
        <w:t xml:space="preserve"> : Après Ia réception des dossiers, il est prévu la visite d'une équipe pour procéder à la vérification des critères techniques en rapport avec des standards arrêtés par I'ANPS avec l’appui des Experts métiers internationaux partenaires. Les standards sont relatifs entre autres, à la qualité et la quantité des équipements, à Ia capacité des salles et ateliers de formation, à l'environnement du centre de formation et à la disponibilité et à la compétence des formateurs.</w:t>
      </w:r>
    </w:p>
    <w:p w:rsidR="002033B4" w:rsidRPr="002033B4" w:rsidRDefault="002033B4" w:rsidP="002033B4">
      <w:pPr>
        <w:numPr>
          <w:ilvl w:val="0"/>
          <w:numId w:val="4"/>
        </w:numPr>
        <w:spacing w:after="200" w:line="276" w:lineRule="auto"/>
        <w:contextualSpacing/>
        <w:jc w:val="both"/>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t xml:space="preserve">Pièces à fournir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Le dossier de manifestation d'intérêt devra contenir les pièces suivantes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1. Une lettre de soumission adressée au Directeur Général de l'ANPS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2. Deux CV de deux formateurs par métier de compétence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3. Le descriptif des infrastructures et équipements disponibles par filière</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4. Les preuves des références techniques (attestations, certificats…)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5. Les pièces administratives (Copie RCCM pour les cabinets, Journal Officiel pour les associations ou Autorisation d'exercice pour Établissement privés)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6. L'attestation de l'immatriculation IFU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7. L'Attestation fiscale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8. L'attestation CNSS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u w:val="single"/>
          <w14:ligatures w14:val="none"/>
        </w:rPr>
        <w:t>NB</w:t>
      </w:r>
      <w:r w:rsidRPr="002033B4">
        <w:rPr>
          <w:rFonts w:ascii="Georgia" w:eastAsia="Times New Roman" w:hAnsi="Georgia" w:cs="Arial"/>
          <w:kern w:val="0"/>
          <w:sz w:val="24"/>
          <w:szCs w:val="24"/>
          <w14:ligatures w14:val="none"/>
        </w:rPr>
        <w:t xml:space="preserve"> : Les centres publics sont dispensés des pièces n° 5 à 8.</w:t>
      </w:r>
    </w:p>
    <w:p w:rsidR="002033B4" w:rsidRPr="002033B4" w:rsidRDefault="002033B4" w:rsidP="002033B4">
      <w:pPr>
        <w:numPr>
          <w:ilvl w:val="0"/>
          <w:numId w:val="4"/>
        </w:numPr>
        <w:spacing w:after="200" w:line="276" w:lineRule="auto"/>
        <w:contextualSpacing/>
        <w:jc w:val="both"/>
        <w:rPr>
          <w:rFonts w:ascii="Georgia" w:eastAsia="Times New Roman" w:hAnsi="Georgia" w:cs="Arial"/>
          <w:b/>
          <w:bCs/>
          <w:kern w:val="0"/>
          <w:sz w:val="24"/>
          <w:szCs w:val="24"/>
          <w14:ligatures w14:val="none"/>
        </w:rPr>
      </w:pPr>
      <w:r w:rsidRPr="002033B4">
        <w:rPr>
          <w:rFonts w:ascii="Georgia" w:eastAsia="Times New Roman" w:hAnsi="Georgia" w:cs="Arial"/>
          <w:b/>
          <w:bCs/>
          <w:kern w:val="0"/>
          <w:sz w:val="24"/>
          <w:szCs w:val="24"/>
          <w14:ligatures w14:val="none"/>
        </w:rPr>
        <w:lastRenderedPageBreak/>
        <w:t xml:space="preserve">Dépôt des dossiers </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Le dossier de manifestation d'intérêt doit être rédigé en langue française et soumis en deux (02) exemplaires, comprenant un (01) original et une (01) copie, dans une enveloppe fermée portant clairement la mention suivante : </w:t>
      </w:r>
      <w:r w:rsidRPr="002033B4">
        <w:rPr>
          <w:rFonts w:ascii="Georgia" w:eastAsia="Times New Roman" w:hAnsi="Georgia" w:cs="Arial"/>
          <w:b/>
          <w:bCs/>
          <w:kern w:val="0"/>
          <w:sz w:val="24"/>
          <w:szCs w:val="24"/>
          <w14:ligatures w14:val="none"/>
        </w:rPr>
        <w:t xml:space="preserve">« Réponse à l'avis à manifestation d'intérêt pour la constitution du répertoire des centres de formation agréés dans le cadre des formations ARCH exercice 2026 » </w:t>
      </w:r>
      <w:r w:rsidRPr="002033B4">
        <w:rPr>
          <w:rFonts w:ascii="Georgia" w:eastAsia="Times New Roman" w:hAnsi="Georgia" w:cs="Arial"/>
          <w:kern w:val="0"/>
          <w:sz w:val="24"/>
          <w:szCs w:val="24"/>
          <w14:ligatures w14:val="none"/>
        </w:rPr>
        <w:t xml:space="preserve">ou envoyé à l’adresse électronique suivante : </w:t>
      </w:r>
      <w:r w:rsidRPr="002033B4">
        <w:rPr>
          <w:rFonts w:ascii="Georgia" w:eastAsia="Times New Roman" w:hAnsi="Georgia" w:cs="Arial"/>
          <w:b/>
          <w:kern w:val="0"/>
          <w:sz w:val="24"/>
          <w:szCs w:val="24"/>
          <w14:ligatures w14:val="none"/>
        </w:rPr>
        <w:t>masm.anpsformation@gouv.bj</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Les dossiers doivent être déposés au plus tard le </w:t>
      </w:r>
      <w:r w:rsidRPr="002033B4">
        <w:rPr>
          <w:rFonts w:ascii="Georgia" w:eastAsia="Times New Roman" w:hAnsi="Georgia" w:cs="Arial"/>
          <w:b/>
          <w:kern w:val="0"/>
          <w:sz w:val="24"/>
          <w:szCs w:val="24"/>
          <w14:ligatures w14:val="none"/>
        </w:rPr>
        <w:t>vendredi 20 mars 2026</w:t>
      </w:r>
      <w:r w:rsidRPr="002033B4">
        <w:rPr>
          <w:rFonts w:ascii="Georgia" w:eastAsia="Times New Roman" w:hAnsi="Georgia" w:cs="Arial"/>
          <w:kern w:val="0"/>
          <w:sz w:val="24"/>
          <w:szCs w:val="24"/>
          <w14:ligatures w14:val="none"/>
        </w:rPr>
        <w:t xml:space="preserve"> à 17h30 précises, au Secrétariat de l'ANPS. Situé à l'adresse suivante : Quartier Tonato, en face de l'église catholique Sainte Rita, Immeuble 781, Cotonou - Bénin.</w:t>
      </w:r>
    </w:p>
    <w:p w:rsidR="002033B4" w:rsidRPr="002033B4" w:rsidRDefault="002033B4" w:rsidP="002033B4">
      <w:pPr>
        <w:spacing w:after="200" w:line="276" w:lineRule="auto"/>
        <w:jc w:val="both"/>
        <w:rPr>
          <w:rFonts w:ascii="Georgia" w:eastAsia="Times New Roman" w:hAnsi="Georgia" w:cs="Arial"/>
          <w:kern w:val="0"/>
          <w:sz w:val="24"/>
          <w:szCs w:val="24"/>
          <w14:ligatures w14:val="none"/>
        </w:rPr>
      </w:pPr>
    </w:p>
    <w:p w:rsidR="002033B4" w:rsidRPr="002033B4" w:rsidRDefault="002033B4" w:rsidP="002033B4">
      <w:pPr>
        <w:spacing w:after="200" w:line="276" w:lineRule="auto"/>
        <w:jc w:val="right"/>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  Cotonou, le 11 février 2026</w:t>
      </w:r>
    </w:p>
    <w:p w:rsidR="002033B4" w:rsidRPr="002033B4" w:rsidRDefault="002033B4" w:rsidP="002033B4">
      <w:pPr>
        <w:spacing w:after="0" w:line="276" w:lineRule="auto"/>
        <w:jc w:val="center"/>
        <w:rPr>
          <w:rFonts w:ascii="Georgia" w:eastAsia="Times New Roman" w:hAnsi="Georgia" w:cs="Arial"/>
          <w:kern w:val="0"/>
          <w:sz w:val="24"/>
          <w:szCs w:val="24"/>
          <w14:ligatures w14:val="none"/>
        </w:rPr>
      </w:pPr>
      <w:r w:rsidRPr="002033B4">
        <w:rPr>
          <w:rFonts w:ascii="Georgia" w:eastAsia="Times New Roman" w:hAnsi="Georgia" w:cs="Arial"/>
          <w:kern w:val="0"/>
          <w:sz w:val="24"/>
          <w:szCs w:val="24"/>
          <w14:ligatures w14:val="none"/>
        </w:rPr>
        <w:t xml:space="preserve">                                                                                                          Le Directeur Général, </w:t>
      </w:r>
      <w:proofErr w:type="spellStart"/>
      <w:r w:rsidRPr="002033B4">
        <w:rPr>
          <w:rFonts w:ascii="Georgia" w:eastAsia="Times New Roman" w:hAnsi="Georgia" w:cs="Arial"/>
          <w:kern w:val="0"/>
          <w:sz w:val="24"/>
          <w:szCs w:val="24"/>
          <w14:ligatures w14:val="none"/>
        </w:rPr>
        <w:t>p.i</w:t>
      </w:r>
      <w:proofErr w:type="spellEnd"/>
    </w:p>
    <w:p w:rsidR="002033B4" w:rsidRPr="002033B4" w:rsidRDefault="002033B4" w:rsidP="002033B4">
      <w:pPr>
        <w:spacing w:after="0" w:line="276" w:lineRule="auto"/>
        <w:jc w:val="right"/>
        <w:rPr>
          <w:rFonts w:ascii="Georgia" w:eastAsia="Times New Roman" w:hAnsi="Georgia" w:cs="Arial"/>
          <w:kern w:val="0"/>
          <w:sz w:val="24"/>
          <w:szCs w:val="24"/>
          <w14:ligatures w14:val="none"/>
        </w:rPr>
      </w:pPr>
    </w:p>
    <w:p w:rsidR="002033B4" w:rsidRPr="002033B4" w:rsidRDefault="002033B4" w:rsidP="002033B4">
      <w:pPr>
        <w:spacing w:after="0" w:line="276" w:lineRule="auto"/>
        <w:jc w:val="right"/>
        <w:rPr>
          <w:rFonts w:ascii="Georgia" w:eastAsia="Times New Roman" w:hAnsi="Georgia" w:cs="Arial"/>
          <w:kern w:val="0"/>
          <w:sz w:val="24"/>
          <w:szCs w:val="24"/>
          <w14:ligatures w14:val="none"/>
        </w:rPr>
      </w:pPr>
    </w:p>
    <w:p w:rsidR="002033B4" w:rsidRPr="002033B4" w:rsidRDefault="002033B4" w:rsidP="002033B4">
      <w:pPr>
        <w:spacing w:after="0" w:line="276" w:lineRule="auto"/>
        <w:jc w:val="right"/>
        <w:rPr>
          <w:rFonts w:ascii="Georgia" w:eastAsia="Times New Roman" w:hAnsi="Georgia" w:cs="Arial"/>
          <w:kern w:val="0"/>
          <w:sz w:val="24"/>
          <w:szCs w:val="24"/>
          <w14:ligatures w14:val="none"/>
        </w:rPr>
      </w:pPr>
    </w:p>
    <w:p w:rsidR="002033B4" w:rsidRPr="002033B4" w:rsidRDefault="002033B4" w:rsidP="002033B4">
      <w:pPr>
        <w:spacing w:after="0" w:line="276" w:lineRule="auto"/>
        <w:jc w:val="right"/>
        <w:rPr>
          <w:rFonts w:ascii="Georgia" w:eastAsia="Times New Roman" w:hAnsi="Georgia" w:cs="Arial"/>
          <w:b/>
          <w:bCs/>
          <w:kern w:val="0"/>
          <w:sz w:val="24"/>
          <w:szCs w:val="24"/>
          <w:u w:val="single"/>
          <w14:ligatures w14:val="none"/>
        </w:rPr>
      </w:pPr>
      <w:r w:rsidRPr="002033B4">
        <w:rPr>
          <w:rFonts w:ascii="Georgia" w:eastAsia="Times New Roman" w:hAnsi="Georgia" w:cs="Arial"/>
          <w:b/>
          <w:bCs/>
          <w:kern w:val="0"/>
          <w:sz w:val="24"/>
          <w:szCs w:val="24"/>
          <w:u w:val="single"/>
          <w14:ligatures w14:val="none"/>
        </w:rPr>
        <w:t>Christian Marcel LODJOU</w:t>
      </w:r>
    </w:p>
    <w:p w:rsidR="002033B4" w:rsidRPr="002033B4" w:rsidRDefault="002033B4" w:rsidP="002033B4">
      <w:pPr>
        <w:spacing w:after="0" w:line="276" w:lineRule="auto"/>
        <w:jc w:val="both"/>
        <w:rPr>
          <w:rFonts w:ascii="Georgia" w:eastAsia="Times New Roman" w:hAnsi="Georgia" w:cs="Arial"/>
          <w:kern w:val="0"/>
          <w:sz w:val="24"/>
          <w:szCs w:val="24"/>
          <w14:ligatures w14:val="none"/>
        </w:rPr>
      </w:pPr>
    </w:p>
    <w:p w:rsidR="002033B4" w:rsidRPr="002033B4" w:rsidRDefault="002033B4" w:rsidP="002033B4">
      <w:pPr>
        <w:spacing w:after="0" w:line="276" w:lineRule="auto"/>
        <w:jc w:val="both"/>
        <w:rPr>
          <w:rFonts w:ascii="Georgia" w:eastAsia="Times New Roman" w:hAnsi="Georgia" w:cs="Arial"/>
          <w:kern w:val="0"/>
          <w:sz w:val="24"/>
          <w:szCs w:val="24"/>
          <w14:ligatures w14:val="none"/>
        </w:rPr>
      </w:pPr>
    </w:p>
    <w:p w:rsidR="002033B4" w:rsidRPr="002033B4" w:rsidRDefault="002033B4" w:rsidP="002033B4">
      <w:pPr>
        <w:spacing w:after="200" w:line="276" w:lineRule="auto"/>
        <w:jc w:val="both"/>
        <w:rPr>
          <w:rFonts w:ascii="Georgia" w:eastAsia="Times New Roman" w:hAnsi="Georgia" w:cs="Times New Roman"/>
          <w:kern w:val="0"/>
          <w:sz w:val="24"/>
          <w:szCs w:val="24"/>
          <w:lang w:val="en-US"/>
          <w14:ligatures w14:val="none"/>
        </w:rPr>
      </w:pPr>
    </w:p>
    <w:p w:rsidR="002033B4" w:rsidRPr="002033B4" w:rsidRDefault="002033B4" w:rsidP="002033B4">
      <w:pPr>
        <w:widowControl w:val="0"/>
        <w:spacing w:after="240" w:line="276" w:lineRule="auto"/>
        <w:jc w:val="both"/>
        <w:rPr>
          <w:rFonts w:ascii="Georgia" w:eastAsiaTheme="minorEastAsia" w:hAnsi="Georgia" w:cs="Arial"/>
          <w:b/>
          <w:sz w:val="24"/>
          <w:szCs w:val="24"/>
          <w:lang w:eastAsia="zh-CN"/>
          <w14:ligatures w14:val="none"/>
        </w:rPr>
      </w:pPr>
    </w:p>
    <w:p w:rsidR="002033B4" w:rsidRPr="002033B4" w:rsidRDefault="002033B4" w:rsidP="002033B4">
      <w:pPr>
        <w:spacing w:after="0" w:line="276" w:lineRule="auto"/>
        <w:ind w:left="4248" w:firstLine="708"/>
        <w:jc w:val="both"/>
        <w:rPr>
          <w:rFonts w:ascii="Montserrat Light" w:eastAsiaTheme="minorEastAsia" w:hAnsi="Montserrat Light"/>
          <w:b/>
          <w:kern w:val="0"/>
          <w:sz w:val="24"/>
          <w:szCs w:val="24"/>
          <w:lang w:eastAsia="fr-FR"/>
          <w14:ligatures w14:val="none"/>
        </w:rPr>
      </w:pPr>
    </w:p>
    <w:p w:rsidR="002033B4" w:rsidRPr="002033B4" w:rsidRDefault="002033B4" w:rsidP="002033B4">
      <w:pPr>
        <w:spacing w:after="0" w:line="276" w:lineRule="auto"/>
        <w:ind w:left="3540" w:firstLine="708"/>
        <w:jc w:val="both"/>
        <w:rPr>
          <w:rFonts w:ascii="Montserrat Light" w:eastAsiaTheme="minorEastAsia" w:hAnsi="Montserrat Light"/>
          <w:b/>
          <w:kern w:val="0"/>
          <w:sz w:val="24"/>
          <w:szCs w:val="24"/>
          <w:lang w:eastAsia="fr-FR"/>
          <w14:ligatures w14:val="none"/>
        </w:rPr>
      </w:pPr>
      <w:r w:rsidRPr="002033B4">
        <w:rPr>
          <w:rFonts w:ascii="Montserrat Light" w:eastAsiaTheme="minorEastAsia" w:hAnsi="Montserrat Light"/>
          <w:b/>
          <w:kern w:val="0"/>
          <w:sz w:val="24"/>
          <w:szCs w:val="24"/>
          <w:lang w:eastAsia="fr-FR"/>
          <w14:ligatures w14:val="none"/>
        </w:rPr>
        <w:t xml:space="preserve">      </w:t>
      </w:r>
    </w:p>
    <w:p w:rsidR="002033B4" w:rsidRPr="002033B4" w:rsidRDefault="002033B4" w:rsidP="002033B4"/>
    <w:p w:rsidR="004F5B8F" w:rsidRDefault="004F5B8F"/>
    <w:sectPr w:rsidR="004F5B8F" w:rsidSect="002033B4">
      <w:footerReference w:type="default" r:id="rId7"/>
      <w:pgSz w:w="11906" w:h="16838"/>
      <w:pgMar w:top="851" w:right="1418" w:bottom="794" w:left="1418"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Ligh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3B4" w:rsidRDefault="002033B4" w:rsidP="005649EB">
    <w:pPr>
      <w:pStyle w:val="Pieddepage"/>
      <w:jc w:val="center"/>
    </w:pPr>
    <w:r>
      <w:rPr>
        <w:noProof/>
      </w:rPr>
      <w:drawing>
        <wp:inline distT="0" distB="0" distL="0" distR="0" wp14:anchorId="513CDFCB" wp14:editId="27624CC8">
          <wp:extent cx="2636476" cy="8001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4306" cy="102098"/>
                  </a:xfrm>
                  <a:prstGeom prst="rect">
                    <a:avLst/>
                  </a:prstGeom>
                  <a:noFill/>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C91"/>
    <w:multiLevelType w:val="hybridMultilevel"/>
    <w:tmpl w:val="9D8C9D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317A5C"/>
    <w:multiLevelType w:val="hybridMultilevel"/>
    <w:tmpl w:val="681673DC"/>
    <w:lvl w:ilvl="0" w:tplc="5956A0E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64A378C"/>
    <w:multiLevelType w:val="hybridMultilevel"/>
    <w:tmpl w:val="7D221E8C"/>
    <w:lvl w:ilvl="0" w:tplc="A67C5C62">
      <w:numFmt w:val="bullet"/>
      <w:lvlText w:val="-"/>
      <w:lvlJc w:val="left"/>
      <w:pPr>
        <w:ind w:left="720" w:hanging="360"/>
      </w:pPr>
      <w:rPr>
        <w:rFonts w:ascii="Bookman Old Style" w:eastAsia="Times New Roman" w:hAnsi="Bookman Old Style"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44C22B3"/>
    <w:multiLevelType w:val="hybridMultilevel"/>
    <w:tmpl w:val="AB160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944874"/>
    <w:multiLevelType w:val="multilevel"/>
    <w:tmpl w:val="911681FA"/>
    <w:lvl w:ilvl="0">
      <w:start w:val="1"/>
      <w:numFmt w:val="decimal"/>
      <w:lvlText w:val="%1."/>
      <w:lvlJc w:val="left"/>
      <w:pPr>
        <w:ind w:left="784"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04" w:hanging="360"/>
      </w:pPr>
      <w:rPr>
        <w:rFonts w:ascii="Courier New" w:hAnsi="Courier New" w:cs="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cs="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cs="Courier New" w:hint="default"/>
      </w:rPr>
    </w:lvl>
    <w:lvl w:ilvl="8">
      <w:start w:val="1"/>
      <w:numFmt w:val="bullet"/>
      <w:lvlText w:val=""/>
      <w:lvlJc w:val="left"/>
      <w:pPr>
        <w:ind w:left="6544" w:hanging="360"/>
      </w:pPr>
      <w:rPr>
        <w:rFonts w:ascii="Wingdings" w:hAnsi="Wingdings" w:hint="default"/>
      </w:rPr>
    </w:lvl>
  </w:abstractNum>
  <w:abstractNum w:abstractNumId="5" w15:restartNumberingAfterBreak="0">
    <w:nsid w:val="64293CD1"/>
    <w:multiLevelType w:val="hybridMultilevel"/>
    <w:tmpl w:val="B9A8DE00"/>
    <w:lvl w:ilvl="0" w:tplc="4E92940A">
      <w:start w:val="1"/>
      <w:numFmt w:val="bullet"/>
      <w:lvlText w:val="-"/>
      <w:lvlJc w:val="left"/>
      <w:pPr>
        <w:ind w:left="82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16cid:durableId="1567376258">
    <w:abstractNumId w:val="5"/>
  </w:num>
  <w:num w:numId="2" w16cid:durableId="1802461893">
    <w:abstractNumId w:val="4"/>
  </w:num>
  <w:num w:numId="3" w16cid:durableId="113135160">
    <w:abstractNumId w:val="3"/>
  </w:num>
  <w:num w:numId="4" w16cid:durableId="550196799">
    <w:abstractNumId w:val="0"/>
  </w:num>
  <w:num w:numId="5" w16cid:durableId="2038969681">
    <w:abstractNumId w:val="2"/>
  </w:num>
  <w:num w:numId="6" w16cid:durableId="12316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B4"/>
    <w:rsid w:val="002033B4"/>
    <w:rsid w:val="0045163D"/>
    <w:rsid w:val="004F5B8F"/>
    <w:rsid w:val="00C208DA"/>
    <w:rsid w:val="00D30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9FFC"/>
  <w15:chartTrackingRefBased/>
  <w15:docId w15:val="{A1A0CCB2-371A-450E-88E8-15362A84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3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03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033B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033B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33B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33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33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33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33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33B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033B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033B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033B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33B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33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33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33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33B4"/>
    <w:rPr>
      <w:rFonts w:eastAsiaTheme="majorEastAsia" w:cstheme="majorBidi"/>
      <w:color w:val="272727" w:themeColor="text1" w:themeTint="D8"/>
    </w:rPr>
  </w:style>
  <w:style w:type="paragraph" w:styleId="Titre">
    <w:name w:val="Title"/>
    <w:basedOn w:val="Normal"/>
    <w:next w:val="Normal"/>
    <w:link w:val="TitreCar"/>
    <w:uiPriority w:val="10"/>
    <w:qFormat/>
    <w:rsid w:val="00203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33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33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33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33B4"/>
    <w:pPr>
      <w:spacing w:before="160"/>
      <w:jc w:val="center"/>
    </w:pPr>
    <w:rPr>
      <w:i/>
      <w:iCs/>
      <w:color w:val="404040" w:themeColor="text1" w:themeTint="BF"/>
    </w:rPr>
  </w:style>
  <w:style w:type="character" w:customStyle="1" w:styleId="CitationCar">
    <w:name w:val="Citation Car"/>
    <w:basedOn w:val="Policepardfaut"/>
    <w:link w:val="Citation"/>
    <w:uiPriority w:val="29"/>
    <w:rsid w:val="002033B4"/>
    <w:rPr>
      <w:i/>
      <w:iCs/>
      <w:color w:val="404040" w:themeColor="text1" w:themeTint="BF"/>
    </w:rPr>
  </w:style>
  <w:style w:type="paragraph" w:styleId="Paragraphedeliste">
    <w:name w:val="List Paragraph"/>
    <w:basedOn w:val="Normal"/>
    <w:uiPriority w:val="34"/>
    <w:qFormat/>
    <w:rsid w:val="002033B4"/>
    <w:pPr>
      <w:ind w:left="720"/>
      <w:contextualSpacing/>
    </w:pPr>
  </w:style>
  <w:style w:type="character" w:styleId="Accentuationintense">
    <w:name w:val="Intense Emphasis"/>
    <w:basedOn w:val="Policepardfaut"/>
    <w:uiPriority w:val="21"/>
    <w:qFormat/>
    <w:rsid w:val="002033B4"/>
    <w:rPr>
      <w:i/>
      <w:iCs/>
      <w:color w:val="2F5496" w:themeColor="accent1" w:themeShade="BF"/>
    </w:rPr>
  </w:style>
  <w:style w:type="paragraph" w:styleId="Citationintense">
    <w:name w:val="Intense Quote"/>
    <w:basedOn w:val="Normal"/>
    <w:next w:val="Normal"/>
    <w:link w:val="CitationintenseCar"/>
    <w:uiPriority w:val="30"/>
    <w:qFormat/>
    <w:rsid w:val="00203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33B4"/>
    <w:rPr>
      <w:i/>
      <w:iCs/>
      <w:color w:val="2F5496" w:themeColor="accent1" w:themeShade="BF"/>
    </w:rPr>
  </w:style>
  <w:style w:type="character" w:styleId="Rfrenceintense">
    <w:name w:val="Intense Reference"/>
    <w:basedOn w:val="Policepardfaut"/>
    <w:uiPriority w:val="32"/>
    <w:qFormat/>
    <w:rsid w:val="002033B4"/>
    <w:rPr>
      <w:b/>
      <w:bCs/>
      <w:smallCaps/>
      <w:color w:val="2F5496" w:themeColor="accent1" w:themeShade="BF"/>
      <w:spacing w:val="5"/>
    </w:rPr>
  </w:style>
  <w:style w:type="paragraph" w:styleId="Pieddepage">
    <w:name w:val="footer"/>
    <w:basedOn w:val="Normal"/>
    <w:link w:val="PieddepageCar"/>
    <w:uiPriority w:val="99"/>
    <w:semiHidden/>
    <w:unhideWhenUsed/>
    <w:rsid w:val="002033B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033B4"/>
  </w:style>
  <w:style w:type="table" w:styleId="Grilledutableau">
    <w:name w:val="Table Grid"/>
    <w:basedOn w:val="TableauNormal"/>
    <w:uiPriority w:val="59"/>
    <w:rsid w:val="002033B4"/>
    <w:pPr>
      <w:spacing w:after="0" w:line="240" w:lineRule="auto"/>
    </w:pPr>
    <w:rPr>
      <w:rFonts w:eastAsia="Times New Roman" w:cs="Times New Roman"/>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6095</Characters>
  <Application>Microsoft Office Word</Application>
  <DocSecurity>0</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LODJOU Christian M. [ Affaire Social ]</dc:creator>
  <cp:keywords/>
  <dc:description/>
  <cp:lastModifiedBy>LODJOU Christian M. [ Affaire Social ]</cp:lastModifiedBy>
  <cp:revision>1</cp:revision>
  <dcterms:created xsi:type="dcterms:W3CDTF">2026-02-12T14:51:00Z</dcterms:created>
  <dcterms:modified xsi:type="dcterms:W3CDTF">2026-02-12T14:57:00Z</dcterms:modified>
</cp:coreProperties>
</file>